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4C2B"/>
          <w:sz w:val="19"/>
        </w:rPr>
        <w:t>MODIFIABLE REQUEST FOR PROPOSALS (RFP) TEMPLATE  |  VNA-RFP-025</w:t>
      </w:r>
    </w:p>
    <w:p>
      <w:pPr>
        <w:pStyle w:val="Heading1"/>
      </w:pPr>
      <w:r>
        <w:rPr>
          <w:color w:val="261B16"/>
        </w:rPr>
        <w:t>Request for Proposals (RFP): Crystal Reports (.rpt), SAP BusinessObjects &amp; OBIEE 12c Migration to Oracle APEX 24.2 &amp; AOP</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B44C2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C1E18"/>
          </w:tcPr>
          <w:p>
            <w:r>
              <w:rPr>
                <w:b/>
                <w:color w:val="FFFFFF"/>
                <w:sz w:val="19"/>
              </w:rPr>
              <w:t>Procurement Milestone / Field</w:t>
            </w:r>
          </w:p>
        </w:tc>
        <w:tc>
          <w:tcPr>
            <w:tcW w:type="dxa" w:w="5040"/>
            <w:shd w:val="clear" w:color="auto" w:fill="2C1E18"/>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VNA-RFP-025 (Companion to Solution Brief VNA-SB-025)</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SAP Crystal Reports (.rpt), BusinessObjects (.unv/.unx), Oracle Discoverer (.eex), OBIEE 12c environment to Oracle APEX 24.2 Interactive Reports/Grids, Runtime/AI Inference Filters, APEX Office Print (AOP) &amp; OAC.</w:t>
      </w:r>
    </w:p>
    <w:p>
      <w:pPr>
        <w:pStyle w:val="ListBullet"/>
      </w:pPr>
      <w:r>
        <w:t>Query Fan-Out Explosion: Over 15+ years, developers clone existing Crystal Reports (.rpt), Oracle Reports (.rdf), or BusinessObjects documents every time a department asks for a new WHERE clause, sort order, or column subset, turning 60 core datasets into 1,200+ redundant report files.</w:t>
      </w:r>
    </w:p>
    <w:p>
      <w:pPr>
        <w:pStyle w:val="ListBullet"/>
      </w:pPr>
      <w:r>
        <w:t>Maintaining 1,000+ duplicated SQL queries means a single schema change or KPI formula update requires touching hundreds of separate report binaries.</w:t>
      </w:r>
    </w:p>
    <w:p>
      <w:pPr>
        <w:pStyle w:val="ListBullet"/>
      </w:pPr>
      <w:r>
        <w:t>Oracle OBIEE 12c, SAP BusinessObjects (.unv/.unx), and legacy Oracle Discoverer (.eex) charge steep annual maintenance while trapping users in static exports instead of dynamic runtime filtering.</w:t>
      </w:r>
    </w:p>
    <w:p>
      <w:pPr>
        <w:pStyle w:val="Heading2"/>
      </w:pPr>
      <w:r>
        <w:rPr>
          <w:color w:val="B44C2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B44C2B"/>
          </w:tcPr>
          <w:p>
            <w:r>
              <w:rPr>
                <w:b/>
                <w:color w:val="FFFFFF"/>
                <w:sz w:val="19"/>
              </w:rPr>
              <w:t>Inventory Dimension</w:t>
            </w:r>
          </w:p>
        </w:tc>
        <w:tc>
          <w:tcPr>
            <w:tcW w:type="dxa" w:w="3360"/>
            <w:shd w:val="clear" w:color="auto" w:fill="B44C2B"/>
          </w:tcPr>
          <w:p>
            <w:r>
              <w:rPr>
                <w:b/>
                <w:color w:val="FFFFFF"/>
                <w:sz w:val="19"/>
              </w:rPr>
              <w:t>Current Baseline Footprint (Editable)</w:t>
            </w:r>
          </w:p>
        </w:tc>
        <w:tc>
          <w:tcPr>
            <w:tcW w:type="dxa" w:w="3360"/>
            <w:shd w:val="clear" w:color="auto" w:fill="B44C2B"/>
          </w:tcPr>
          <w:p>
            <w:r>
              <w:rPr>
                <w:b/>
                <w:color w:val="FFFFFF"/>
                <w:sz w:val="19"/>
              </w:rPr>
              <w:t>Target Modernization SLA / Objective</w:t>
            </w:r>
          </w:p>
        </w:tc>
      </w:tr>
      <w:tr>
        <w:tc>
          <w:tcPr>
            <w:tcW w:type="dxa" w:w="3360"/>
          </w:tcPr>
          <w:p>
            <w:r>
              <w:rPr>
                <w:b/>
              </w:rPr>
              <w:t>Legacy Source Stack (Stack X)</w:t>
            </w:r>
          </w:p>
        </w:tc>
        <w:tc>
          <w:tcPr>
            <w:tcW w:type="dxa" w:w="3360"/>
          </w:tcPr>
          <w:p>
            <w:r>
              <w:t>SAP Crystal Reports (.rpt), BusinessObjects (.unv/.unx), Oracle Discoverer (.eex), OBIEE 12c</w:t>
            </w:r>
          </w:p>
        </w:tc>
        <w:tc>
          <w:tcPr>
            <w:tcW w:type="dxa" w:w="3360"/>
          </w:tcPr>
          <w:p>
            <w:r>
              <w:t>Full retirement / modernization</w:t>
            </w:r>
          </w:p>
        </w:tc>
      </w:tr>
      <w:tr>
        <w:tc>
          <w:tcPr>
            <w:tcW w:type="dxa" w:w="3360"/>
          </w:tcPr>
          <w:p>
            <w:r>
              <w:rPr>
                <w:b/>
              </w:rPr>
              <w:t>Target Architecture (Stack Y)</w:t>
            </w:r>
          </w:p>
        </w:tc>
        <w:tc>
          <w:tcPr>
            <w:tcW w:type="dxa" w:w="3360"/>
          </w:tcPr>
          <w:p>
            <w:r>
              <w:t>Oracle APEX 24.2 Interactive Reports/Grids, Runtime/AI Inference Filters, APEX Office Print (AOP) &amp; OAC</w:t>
            </w:r>
          </w:p>
        </w:tc>
        <w:tc>
          <w:tcPr>
            <w:tcW w:type="dxa" w:w="3360"/>
          </w:tcPr>
          <w:p>
            <w:r>
              <w:t>Production HA/DR &amp; security governance</w:t>
            </w:r>
          </w:p>
        </w:tc>
      </w:tr>
      <w:tr>
        <w:tc>
          <w:tcPr>
            <w:tcW w:type="dxa" w:w="3360"/>
          </w:tcPr>
          <w:p>
            <w:r>
              <w:rPr>
                <w:b/>
              </w:rPr>
              <w:t>Legacy Crystal (.rpt) / BusinessObjects / Discoverer / OBIEE Reports</w:t>
            </w:r>
          </w:p>
        </w:tc>
        <w:tc>
          <w:tcPr>
            <w:tcW w:type="dxa" w:w="3360"/>
          </w:tcPr>
          <w:p>
            <w:r>
              <w:t>[Insert Count, e.g., 420 legacy reports]</w:t>
            </w:r>
          </w:p>
        </w:tc>
        <w:tc>
          <w:tcPr>
            <w:tcW w:type="dxa" w:w="3360"/>
          </w:tcPr>
          <w:p>
            <w:r>
              <w:t>100% functional parity &amp; optimization</w:t>
            </w:r>
          </w:p>
        </w:tc>
      </w:tr>
      <w:tr>
        <w:tc>
          <w:tcPr>
            <w:tcW w:type="dxa" w:w="3360"/>
          </w:tcPr>
          <w:p>
            <w:r>
              <w:rPr>
                <w:b/>
              </w:rPr>
              <w:t>Query Fan-Out Rationalization Lever (Collapse Cloned SQL -&gt; Core Views + Runtime/Inference Filters)</w:t>
            </w:r>
          </w:p>
        </w:tc>
        <w:tc>
          <w:tcPr>
            <w:tcW w:type="dxa" w:w="3360"/>
          </w:tcPr>
          <w:p>
            <w:r>
              <w:t>[Insert Count, e.g., 84 % fan-out reduction]</w:t>
            </w:r>
          </w:p>
        </w:tc>
        <w:tc>
          <w:tcPr>
            <w:tcW w:type="dxa" w:w="3360"/>
          </w:tcPr>
          <w:p>
            <w:r>
              <w:t>Automated AST &amp; schema uplift</w:t>
            </w:r>
          </w:p>
        </w:tc>
      </w:tr>
      <w:tr>
        <w:tc>
          <w:tcPr>
            <w:tcW w:type="dxa" w:w="3360"/>
          </w:tcPr>
          <w:p>
            <w:r>
              <w:rPr>
                <w:b/>
              </w:rPr>
              <w:t>Pixel-Perfect PDF / Word / Excel AOP Templates</w:t>
            </w:r>
          </w:p>
        </w:tc>
        <w:tc>
          <w:tcPr>
            <w:tcW w:type="dxa" w:w="3360"/>
          </w:tcPr>
          <w:p>
            <w:r>
              <w:t>[Insert Count, e.g., 45 AOP templates]</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B44C2B"/>
        </w:rPr>
        <w:t>Section 3: Mandatory Technical Scope of Work &amp; Conversion Matrix</w:t>
      </w:r>
    </w:p>
    <w:p>
      <w:pPr>
        <w:pStyle w:val="ListNumber"/>
      </w:pPr>
      <w:r>
        <w:rPr>
          <w:b/>
        </w:rPr>
        <w:t xml:space="preserve">[REQ-ARCH-01] </w:t>
      </w:r>
      <w:r>
        <w:t>AST Query Fan-Out Rationalization: We parse all legacy .rpt, .rdf, .unv/.unx, .eex, and RPD files into SQL Abstract Syntax Trees (ASTs), stripping literal predicates and clustering queries by their core FROM/JOIN graph and aggregation grain.</w:t>
      </w:r>
    </w:p>
    <w:p>
      <w:pPr>
        <w:pStyle w:val="ListNumber"/>
      </w:pPr>
      <w:r>
        <w:rPr>
          <w:b/>
        </w:rPr>
        <w:t xml:space="preserve">[REQ-ARCH-02] </w:t>
      </w:r>
      <w:r>
        <w:t>Build Only the Core Canonical SQL Views: Instead of migrating 1,000 cloned reports 1-for-1, we engineer governed, indexed Oracle Database 23ai views, Analytic Views, and PL/SQL pipelined functions strictly for the canonical core queries (typically reducing report artifact count by 75% to 90%).</w:t>
      </w:r>
    </w:p>
    <w:p>
      <w:pPr>
        <w:pStyle w:val="ListNumber"/>
      </w:pPr>
      <w:r>
        <w:rPr>
          <w:b/>
        </w:rPr>
        <w:t xml:space="preserve">[REQ-ARCH-03] </w:t>
      </w:r>
      <w:r>
        <w:t>Runtime &amp; Inference Filter Generation: Dynamic WHERE clauses, faceted search, saved user views, control breaks, and natural-language AI prompts (Oracle APEX 24.2 Smart Filters + Autonomous Database Select AI) are evaluated at runtime/inference rather than hard-coded into separate files.</w:t>
      </w:r>
    </w:p>
    <w:p>
      <w:pPr>
        <w:pStyle w:val="ListNumber"/>
      </w:pPr>
      <w:r>
        <w:rPr>
          <w:b/>
        </w:rPr>
        <w:t xml:space="preserve">[REQ-ARCH-04] </w:t>
      </w:r>
      <w:r>
        <w:t>Pixel-Perfect Output via AOP: Regulatory PDFs, statements, and multi-tab Excel workbooks bind to the same rationalized core SQL cursors via APEX Office Print (AOP) or BI Publisher.</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C1E18"/>
          </w:tcPr>
          <w:p>
            <w:r>
              <w:rPr>
                <w:b/>
                <w:color w:val="FFFFFF"/>
                <w:sz w:val="19"/>
              </w:rPr>
              <w:t>Req ID</w:t>
            </w:r>
          </w:p>
        </w:tc>
        <w:tc>
          <w:tcPr>
            <w:tcW w:type="dxa" w:w="2520"/>
            <w:shd w:val="clear" w:color="auto" w:fill="2C1E18"/>
          </w:tcPr>
          <w:p>
            <w:r>
              <w:rPr>
                <w:b/>
                <w:color w:val="FFFFFF"/>
                <w:sz w:val="19"/>
              </w:rPr>
              <w:t>Legacy Artifact / Baseline Workload</w:t>
            </w:r>
          </w:p>
        </w:tc>
        <w:tc>
          <w:tcPr>
            <w:tcW w:type="dxa" w:w="2520"/>
            <w:shd w:val="clear" w:color="auto" w:fill="2C1E18"/>
          </w:tcPr>
          <w:p>
            <w:r>
              <w:rPr>
                <w:b/>
                <w:color w:val="FFFFFF"/>
                <w:sz w:val="19"/>
              </w:rPr>
              <w:t>Required Target Architecture</w:t>
            </w:r>
          </w:p>
        </w:tc>
        <w:tc>
          <w:tcPr>
            <w:tcW w:type="dxa" w:w="2520"/>
            <w:shd w:val="clear" w:color="auto" w:fill="2C1E18"/>
          </w:tcPr>
          <w:p>
            <w:r>
              <w:rPr>
                <w:b/>
                <w:color w:val="FFFFFF"/>
                <w:sz w:val="19"/>
              </w:rPr>
              <w:t>Engineering Method &amp; Acceptance Gate</w:t>
            </w:r>
          </w:p>
        </w:tc>
      </w:tr>
      <w:tr>
        <w:tc>
          <w:tcPr>
            <w:tcW w:type="dxa" w:w="2520"/>
          </w:tcPr>
          <w:p>
            <w:r>
              <w:rPr>
                <w:b/>
              </w:rPr>
              <w:t>REQ-01</w:t>
            </w:r>
          </w:p>
        </w:tc>
        <w:tc>
          <w:tcPr>
            <w:tcW w:type="dxa" w:w="2520"/>
          </w:tcPr>
          <w:p>
            <w:r>
              <w:t>10-30 Cloned Reports Differing Only by WHERE Clause / Sort / Group-By (Query Fan-Out)</w:t>
            </w:r>
          </w:p>
        </w:tc>
        <w:tc>
          <w:tcPr>
            <w:tcW w:type="dxa" w:w="2520"/>
          </w:tcPr>
          <w:p>
            <w:r>
              <w:t>1 Canonical Oracle 23ai Core View + APEX 24.2 Runtime / Inference Filters</w:t>
            </w:r>
          </w:p>
        </w:tc>
        <w:tc>
          <w:tcPr>
            <w:tcW w:type="dxa" w:w="2520"/>
          </w:tcPr>
          <w:p>
            <w:r>
              <w:t>AST Join-Graph Clustering; build once for the core SQL, resolve predicates at runtime/inference</w:t>
            </w:r>
          </w:p>
        </w:tc>
      </w:tr>
      <w:tr>
        <w:tc>
          <w:tcPr>
            <w:tcW w:type="dxa" w:w="2520"/>
          </w:tcPr>
          <w:p>
            <w:r>
              <w:rPr>
                <w:b/>
              </w:rPr>
              <w:t>REQ-02</w:t>
            </w:r>
          </w:p>
        </w:tc>
        <w:tc>
          <w:tcPr>
            <w:tcW w:type="dxa" w:w="2520"/>
          </w:tcPr>
          <w:p>
            <w:r>
              <w:t>SAP Crystal Reports (.rpt) + Nested Subreports</w:t>
            </w:r>
          </w:p>
        </w:tc>
        <w:tc>
          <w:tcPr>
            <w:tcW w:type="dxa" w:w="2520"/>
          </w:tcPr>
          <w:p>
            <w:r>
              <w:t>APEX Office Print (AOP) Template + Single Hierarchical CURSOR() Query</w:t>
            </w:r>
          </w:p>
        </w:tc>
        <w:tc>
          <w:tcPr>
            <w:tcW w:type="dxa" w:w="2520"/>
          </w:tcPr>
          <w:p>
            <w:r>
              <w:t>Extract SQL &amp; formula fields; bind canonical core query to DOCX/XLSX/PDF template</w:t>
            </w:r>
          </w:p>
        </w:tc>
      </w:tr>
      <w:tr>
        <w:tc>
          <w:tcPr>
            <w:tcW w:type="dxa" w:w="2520"/>
          </w:tcPr>
          <w:p>
            <w:r>
              <w:rPr>
                <w:b/>
              </w:rPr>
              <w:t>REQ-03</w:t>
            </w:r>
          </w:p>
        </w:tc>
        <w:tc>
          <w:tcPr>
            <w:tcW w:type="dxa" w:w="2520"/>
          </w:tcPr>
          <w:p>
            <w:r>
              <w:t>BusinessObjects Universe (.unv / .unx) Joins &amp; Measures</w:t>
            </w:r>
          </w:p>
        </w:tc>
        <w:tc>
          <w:tcPr>
            <w:tcW w:type="dxa" w:w="2520"/>
          </w:tcPr>
          <w:p>
            <w:r>
              <w:t>Oracle 23ai Semantic Views + Analytic Views + Select AI Metadata</w:t>
            </w:r>
          </w:p>
        </w:tc>
        <w:tc>
          <w:tcPr>
            <w:tcW w:type="dxa" w:w="2520"/>
          </w:tcPr>
          <w:p>
            <w:r>
              <w:t>Compile universe classes into governed SQL views supporting runtime NL2SQL inference</w:t>
            </w:r>
          </w:p>
        </w:tc>
      </w:tr>
      <w:tr>
        <w:tc>
          <w:tcPr>
            <w:tcW w:type="dxa" w:w="2520"/>
          </w:tcPr>
          <w:p>
            <w:r>
              <w:rPr>
                <w:b/>
              </w:rPr>
              <w:t>REQ-04</w:t>
            </w:r>
          </w:p>
        </w:tc>
        <w:tc>
          <w:tcPr>
            <w:tcW w:type="dxa" w:w="2520"/>
          </w:tcPr>
          <w:p>
            <w:r>
              <w:t>Oracle Discoverer Workbooks (.eex) &amp; EUL Folders</w:t>
            </w:r>
          </w:p>
        </w:tc>
        <w:tc>
          <w:tcPr>
            <w:tcW w:type="dxa" w:w="2520"/>
          </w:tcPr>
          <w:p>
            <w:r>
              <w:t>Oracle APEX 24.2 Interactive Reports, Smart Filters &amp; Saved Views</w:t>
            </w:r>
          </w:p>
        </w:tc>
        <w:tc>
          <w:tcPr>
            <w:tcW w:type="dxa" w:w="2520"/>
          </w:tcPr>
          <w:p>
            <w:r>
              <w:t>Deduplicate EUL folders into core views; users save custom runtime views without IT tickets</w:t>
            </w:r>
          </w:p>
        </w:tc>
      </w:tr>
      <w:tr>
        <w:tc>
          <w:tcPr>
            <w:tcW w:type="dxa" w:w="2520"/>
          </w:tcPr>
          <w:p>
            <w:r>
              <w:rPr>
                <w:b/>
              </w:rPr>
              <w:t>REQ-05</w:t>
            </w:r>
          </w:p>
        </w:tc>
        <w:tc>
          <w:tcPr>
            <w:tcW w:type="dxa" w:w="2520"/>
          </w:tcPr>
          <w:p>
            <w:r>
              <w:t>OBIEE 12c RPD &amp; Answers Dashboards</w:t>
            </w:r>
          </w:p>
        </w:tc>
        <w:tc>
          <w:tcPr>
            <w:tcW w:type="dxa" w:w="2520"/>
          </w:tcPr>
          <w:p>
            <w:r>
              <w:t>Oracle Analytics Cloud (OAC) or Native APEX 24.2 Dashboards</w:t>
            </w:r>
          </w:p>
        </w:tc>
        <w:tc>
          <w:tcPr>
            <w:tcW w:type="dxa" w:w="2520"/>
          </w:tcPr>
          <w:p>
            <w:r>
              <w:t>Lift executive KPIs to OAC or consolidate operational drill-downs into zero-license APEX pages</w:t>
            </w:r>
          </w:p>
        </w:tc>
      </w:tr>
      <w:tr>
        <w:tc>
          <w:tcPr>
            <w:tcW w:type="dxa" w:w="2520"/>
          </w:tcPr>
          <w:p>
            <w:r>
              <w:rPr>
                <w:b/>
              </w:rPr>
              <w:t>REQ-06</w:t>
            </w:r>
          </w:p>
        </w:tc>
        <w:tc>
          <w:tcPr>
            <w:tcW w:type="dxa" w:w="2520"/>
          </w:tcPr>
          <w:p>
            <w:r>
              <w:t>Crystal Server / BO InfoView Bursting Schedules</w:t>
            </w:r>
          </w:p>
        </w:tc>
        <w:tc>
          <w:tcPr>
            <w:tcW w:type="dxa" w:w="2520"/>
          </w:tcPr>
          <w:p>
            <w:r>
              <w:t>APEX_AUTOMATION + DBMS_SCHEDULER + Dynamic VPD Predicates</w:t>
            </w:r>
          </w:p>
        </w:tc>
        <w:tc>
          <w:tcPr>
            <w:tcW w:type="dxa" w:w="2520"/>
          </w:tcPr>
          <w:p>
            <w:r>
              <w:t>Single scheduled job bursts personalized outputs by injecting runtime security context</w:t>
            </w:r>
          </w:p>
        </w:tc>
      </w:tr>
    </w:tbl>
    <w:p>
      <w:pPr>
        <w:pStyle w:val="Heading2"/>
      </w:pPr>
      <w:r>
        <w:rPr>
          <w:color w:val="B44C2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How does Query Fan-Out Rationalization reduce our report count by 75% to 90%?   [Evaluator Score: ___ / 10]</w:t>
      </w:r>
    </w:p>
    <w:p>
      <w:pPr>
        <w:pStyle w:val="ListBullet"/>
      </w:pPr>
      <w:r>
        <w:rPr>
          <w:b/>
        </w:rPr>
        <w:t xml:space="preserve">Reference Evaluation Benchmark: </w:t>
      </w:r>
      <w:r>
        <w:t>When we parse legacy Crystal (.rpt), Oracle Reports (.rdf), or BusinessObjects repositories into SQL Abstract Syntax Trees, we consistently find that 5 to 15 separate reports query the exact same tables and joins, differing only in hard-coded WHERE clauses, date buckets, or sort orders. We build and govern only the canonical core SQL query in Oracle 23ai, while all filter combinations, groupings, and ad-hoc views are generated dynamically at runtime or via AI inference in Oracle APEX 24.2.</w:t>
      </w:r>
    </w:p>
    <w:p>
      <w:pPr>
        <w:pStyle w:val="ListBullet"/>
      </w:pPr>
      <w:r>
        <w:rPr>
          <w:b/>
        </w:rPr>
        <w:t xml:space="preserve">Vendor Written Response: </w:t>
      </w:r>
      <w:r>
        <w:t>[Bidder to insert concrete technical architecture and verifiable production proof here]</w:t>
      </w:r>
    </w:p>
    <w:p>
      <w:r>
        <w:rPr>
          <w:b/>
        </w:rPr>
        <w:t>Vendor Question 2: How do runtime and inference-based filters work for business users?   [Evaluator Score: ___ / 10]</w:t>
      </w:r>
    </w:p>
    <w:p>
      <w:pPr>
        <w:pStyle w:val="ListBullet"/>
      </w:pPr>
      <w:r>
        <w:rPr>
          <w:b/>
        </w:rPr>
        <w:t xml:space="preserve">Reference Evaluation Benchmark: </w:t>
      </w:r>
      <w:r>
        <w:t>Each core SQL view powers an Oracle APEX 24.2 Interactive Report or Smart Filter page alongside Oracle 23ai Select AI natural-language inference. Users can toggle faceted filters, save private or public runtime report views, schedule email subscriptions, or type natural-language questions that synthesize safe WHERE predicates against the governed core view at runtime.</w:t>
      </w:r>
    </w:p>
    <w:p>
      <w:pPr>
        <w:pStyle w:val="ListBullet"/>
      </w:pPr>
      <w:r>
        <w:rPr>
          <w:b/>
        </w:rPr>
        <w:t xml:space="preserve">Vendor Written Response: </w:t>
      </w:r>
      <w:r>
        <w:t>[Bidder to insert concrete technical architecture and verifiable production proof here]</w:t>
      </w:r>
    </w:p>
    <w:p>
      <w:r>
        <w:rPr>
          <w:b/>
        </w:rPr>
        <w:t>Vendor Question 3: Can Oracle APEX still produce pixel-perfect multi-page invoices, checks, and statements like Crystal Reports?   [Evaluator Score: ___ / 10]</w:t>
      </w:r>
    </w:p>
    <w:p>
      <w:pPr>
        <w:pStyle w:val="ListBullet"/>
      </w:pPr>
      <w:r>
        <w:rPr>
          <w:b/>
        </w:rPr>
        <w:t xml:space="preserve">Reference Evaluation Benchmark: </w:t>
      </w:r>
      <w:r>
        <w:t>Yes. By pairing the rationalized core SQL cursors with APEX Office Print (AOP) or Oracle BI Publisher, business analysts maintain Word or Excel templates while Oracle 23ai supplies nested JSON cursor data at runtime.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B44C2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C1E18"/>
          </w:tcPr>
          <w:p>
            <w:r>
              <w:rPr>
                <w:b/>
                <w:color w:val="FFFFFF"/>
                <w:sz w:val="19"/>
              </w:rPr>
              <w:t>Milestone / Phase</w:t>
            </w:r>
          </w:p>
        </w:tc>
        <w:tc>
          <w:tcPr>
            <w:tcW w:type="dxa" w:w="2520"/>
            <w:shd w:val="clear" w:color="auto" w:fill="2C1E18"/>
          </w:tcPr>
          <w:p>
            <w:r>
              <w:rPr>
                <w:b/>
                <w:color w:val="FFFFFF"/>
                <w:sz w:val="19"/>
              </w:rPr>
              <w:t>Deliverable &amp; Acceptance Gate</w:t>
            </w:r>
          </w:p>
        </w:tc>
        <w:tc>
          <w:tcPr>
            <w:tcW w:type="dxa" w:w="2520"/>
            <w:shd w:val="clear" w:color="auto" w:fill="2C1E18"/>
          </w:tcPr>
          <w:p>
            <w:r>
              <w:rPr>
                <w:b/>
                <w:color w:val="FFFFFF"/>
                <w:sz w:val="19"/>
              </w:rPr>
              <w:t>Fixed Fee (USD)</w:t>
            </w:r>
          </w:p>
        </w:tc>
        <w:tc>
          <w:tcPr>
            <w:tcW w:type="dxa" w:w="2520"/>
            <w:shd w:val="clear" w:color="auto" w:fill="2C1E18"/>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(VNA-RFP-025)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VNA-RFP-025  |  https://crystal-reports-bo-to-apex.web.app/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